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D1" w:rsidRDefault="003E2AD1" w:rsidP="003E2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3E2AD1" w:rsidTr="00E75CAB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36DFA9" wp14:editId="792F5445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7C0E144" wp14:editId="2D8EAD7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5A19E2C" wp14:editId="343DE610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AD1" w:rsidTr="00E75CAB">
        <w:tc>
          <w:tcPr>
            <w:tcW w:w="115" w:type="dxa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3E2AD1" w:rsidTr="00E75CAB">
        <w:tc>
          <w:tcPr>
            <w:tcW w:w="115" w:type="dxa"/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3E2AD1" w:rsidRDefault="003E2AD1" w:rsidP="00E7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3E2AD1" w:rsidRDefault="003E2AD1" w:rsidP="003E2AD1"/>
    <w:p w:rsidR="003E2AD1" w:rsidRPr="00FA687C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A687C">
        <w:rPr>
          <w:rFonts w:ascii="Calibri" w:eastAsia="Calibri" w:hAnsi="Calibri" w:cs="Calibri"/>
          <w:b/>
          <w:color w:val="000000"/>
          <w:sz w:val="28"/>
          <w:szCs w:val="28"/>
        </w:rPr>
        <w:t>ATTIVITÀ SVOLTE A.S. 2023/24</w:t>
      </w: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E2AD1" w:rsidRDefault="003E2AD1" w:rsidP="003E2AD1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 xml:space="preserve">Mario Pilo, </w:t>
      </w:r>
      <w:r>
        <w:rPr>
          <w:rFonts w:asciiTheme="majorHAnsi" w:eastAsia="Tahoma" w:hAnsiTheme="majorHAnsi" w:cstheme="majorHAnsi"/>
          <w:sz w:val="24"/>
          <w:szCs w:val="24"/>
        </w:rPr>
        <w:t>Raffaele Gigliotti</w:t>
      </w:r>
    </w:p>
    <w:p w:rsidR="003E2AD1" w:rsidRPr="00260A88" w:rsidRDefault="003E2AD1" w:rsidP="003E2AD1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</w:p>
    <w:p w:rsidR="003E2AD1" w:rsidRPr="00260A88" w:rsidRDefault="003E2AD1" w:rsidP="003E2AD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3E2AD1" w:rsidRPr="00260A88" w:rsidRDefault="003E2AD1" w:rsidP="003E2AD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3E2AD1" w:rsidRPr="00260A88" w:rsidRDefault="003E2AD1" w:rsidP="003E2AD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3E2AD1" w:rsidRPr="00260A88" w:rsidRDefault="003E2AD1" w:rsidP="003E2AD1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1w84xfhduzwh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3E2AD1" w:rsidRPr="00260A88" w:rsidRDefault="003E2AD1" w:rsidP="003E2AD1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Pr="00260A88">
        <w:rPr>
          <w:rFonts w:ascii="Calibri" w:eastAsia="Calibri" w:hAnsi="Calibri" w:cs="Calibri"/>
          <w:sz w:val="24"/>
          <w:szCs w:val="24"/>
        </w:rPr>
        <w:t>5^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3E2AD1" w:rsidRDefault="003E2AD1" w:rsidP="003E2AD1">
      <w:pPr>
        <w:keepNext/>
        <w:tabs>
          <w:tab w:val="left" w:pos="708"/>
        </w:tabs>
        <w:jc w:val="both"/>
        <w:rPr>
          <w:rFonts w:ascii="Calibri" w:eastAsia="Calibri" w:hAnsi="Calibri" w:cs="Calibri"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3E2AD1" w:rsidRPr="00260A88" w:rsidRDefault="003E2AD1" w:rsidP="003E2AD1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E2AD1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57739F">
        <w:rPr>
          <w:rFonts w:eastAsia="Calibri"/>
          <w:b/>
          <w:sz w:val="24"/>
          <w:szCs w:val="24"/>
        </w:rPr>
        <w:t>Biotecnologie e loro applicazione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  <w:u w:val="single"/>
        </w:rPr>
      </w:pPr>
      <w:r w:rsidRPr="0057739F">
        <w:rPr>
          <w:rFonts w:eastAsia="Calibri"/>
          <w:sz w:val="24"/>
          <w:szCs w:val="24"/>
          <w:u w:val="single"/>
        </w:rPr>
        <w:t>Conoscenze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Origine ed evoluzione delle biotecnologie </w:t>
      </w:r>
      <w:r w:rsidRPr="0057739F">
        <w:rPr>
          <w:rFonts w:eastAsia="Calibri"/>
          <w:sz w:val="24"/>
          <w:szCs w:val="24"/>
        </w:rPr>
        <w:t>classiche e innovative</w:t>
      </w:r>
      <w:r w:rsidRPr="0057739F">
        <w:rPr>
          <w:sz w:val="24"/>
          <w:szCs w:val="24"/>
        </w:rPr>
        <w:t xml:space="preserve">; biotecnologie tradizionale e ingegneria genetica; metodi per isolare e ottenere un gene di interesse: enzimi di restrizione, </w:t>
      </w:r>
      <w:proofErr w:type="spellStart"/>
      <w:r w:rsidRPr="0057739F">
        <w:rPr>
          <w:sz w:val="24"/>
          <w:szCs w:val="24"/>
        </w:rPr>
        <w:t>retrotrascrizione</w:t>
      </w:r>
      <w:proofErr w:type="spellEnd"/>
      <w:r w:rsidRPr="0057739F">
        <w:rPr>
          <w:sz w:val="24"/>
          <w:szCs w:val="24"/>
        </w:rPr>
        <w:t xml:space="preserve">, PCR, sintesi chimica.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Enzimi di restrizione: esempi; tipi di taglio operato. Enzima </w:t>
      </w:r>
      <w:proofErr w:type="spellStart"/>
      <w:r w:rsidRPr="0057739F">
        <w:rPr>
          <w:sz w:val="24"/>
          <w:szCs w:val="24"/>
        </w:rPr>
        <w:t>ligasi</w:t>
      </w:r>
      <w:proofErr w:type="spellEnd"/>
      <w:r w:rsidRPr="0057739F">
        <w:rPr>
          <w:sz w:val="24"/>
          <w:szCs w:val="24"/>
        </w:rPr>
        <w:t xml:space="preserve">; elettroforesi su gel.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Le sonde molecolari e i sistemi rivelatori. Tecniche di ibridazione: su filtro (es. Southern </w:t>
      </w:r>
      <w:proofErr w:type="spellStart"/>
      <w:r w:rsidRPr="0057739F">
        <w:rPr>
          <w:sz w:val="24"/>
          <w:szCs w:val="24"/>
        </w:rPr>
        <w:t>blotting</w:t>
      </w:r>
      <w:proofErr w:type="spellEnd"/>
      <w:r w:rsidRPr="0057739F">
        <w:rPr>
          <w:sz w:val="24"/>
          <w:szCs w:val="24"/>
        </w:rPr>
        <w:t xml:space="preserve">); in situ.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I vettori molecolari. I vettori </w:t>
      </w:r>
      <w:proofErr w:type="spellStart"/>
      <w:r w:rsidRPr="0057739F">
        <w:rPr>
          <w:sz w:val="24"/>
          <w:szCs w:val="24"/>
        </w:rPr>
        <w:t>plasmidici</w:t>
      </w:r>
      <w:proofErr w:type="spellEnd"/>
      <w:r w:rsidRPr="0057739F">
        <w:rPr>
          <w:sz w:val="24"/>
          <w:szCs w:val="24"/>
        </w:rPr>
        <w:t xml:space="preserve">: vantaggi e limiti; geni marcatori. I marcatori di selezione.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Vettori molecolari: batteriofagi, </w:t>
      </w:r>
      <w:proofErr w:type="spellStart"/>
      <w:r w:rsidRPr="0057739F">
        <w:rPr>
          <w:sz w:val="24"/>
          <w:szCs w:val="24"/>
        </w:rPr>
        <w:t>cosmidi</w:t>
      </w:r>
      <w:proofErr w:type="spellEnd"/>
      <w:r w:rsidRPr="0057739F">
        <w:rPr>
          <w:sz w:val="24"/>
          <w:szCs w:val="24"/>
        </w:rPr>
        <w:t xml:space="preserve">, BAC e YAC. Come usare un vettore di espressione.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Esempio di plasmide artificiale: il pBR322. Approfondimento sulla struttura della parete batterica; meccanismo di azione e resistenza alle penicilline.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Insulina – primo farmaco prodotto con tecniche di biologia molecolare.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Trasferire DNA all’interno di una cellula: Shock termico, </w:t>
      </w:r>
      <w:proofErr w:type="spellStart"/>
      <w:r w:rsidRPr="0057739F">
        <w:rPr>
          <w:sz w:val="24"/>
          <w:szCs w:val="24"/>
        </w:rPr>
        <w:t>elettroporazione</w:t>
      </w:r>
      <w:proofErr w:type="spellEnd"/>
      <w:r w:rsidRPr="0057739F">
        <w:rPr>
          <w:sz w:val="24"/>
          <w:szCs w:val="24"/>
        </w:rPr>
        <w:t xml:space="preserve">, gene </w:t>
      </w:r>
      <w:proofErr w:type="spellStart"/>
      <w:r w:rsidRPr="0057739F">
        <w:rPr>
          <w:sz w:val="24"/>
          <w:szCs w:val="24"/>
        </w:rPr>
        <w:t>gun</w:t>
      </w:r>
      <w:proofErr w:type="spellEnd"/>
      <w:r w:rsidRPr="0057739F">
        <w:rPr>
          <w:sz w:val="24"/>
          <w:szCs w:val="24"/>
        </w:rPr>
        <w:t xml:space="preserve"> e altre metodiche. Come selezionare i cloni ricombinanti. Costruzione di una </w:t>
      </w:r>
      <w:proofErr w:type="spellStart"/>
      <w:r w:rsidRPr="0057739F">
        <w:rPr>
          <w:sz w:val="24"/>
          <w:szCs w:val="24"/>
        </w:rPr>
        <w:t>genoteca</w:t>
      </w:r>
      <w:proofErr w:type="spellEnd"/>
      <w:r w:rsidRPr="0057739F">
        <w:rPr>
          <w:sz w:val="24"/>
          <w:szCs w:val="24"/>
        </w:rPr>
        <w:t xml:space="preserve">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PCR: Reazione a catena della polimerasi. PCR particolare (Retro Trascrizione PCR) indispensabile per rilevare il genoma virale del </w:t>
      </w:r>
      <w:proofErr w:type="spellStart"/>
      <w:r w:rsidRPr="0057739F">
        <w:rPr>
          <w:sz w:val="24"/>
          <w:szCs w:val="24"/>
        </w:rPr>
        <w:t>Sars</w:t>
      </w:r>
      <w:proofErr w:type="spellEnd"/>
      <w:r w:rsidRPr="0057739F">
        <w:rPr>
          <w:sz w:val="24"/>
          <w:szCs w:val="24"/>
        </w:rPr>
        <w:t xml:space="preserve"> </w:t>
      </w:r>
      <w:proofErr w:type="spellStart"/>
      <w:r w:rsidRPr="0057739F">
        <w:rPr>
          <w:sz w:val="24"/>
          <w:szCs w:val="24"/>
        </w:rPr>
        <w:t>Cov</w:t>
      </w:r>
      <w:proofErr w:type="spellEnd"/>
      <w:r w:rsidRPr="0057739F">
        <w:rPr>
          <w:sz w:val="24"/>
          <w:szCs w:val="24"/>
        </w:rPr>
        <w:t xml:space="preserve"> 2, virus a RNA.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proofErr w:type="spellStart"/>
      <w:r w:rsidRPr="0057739F">
        <w:rPr>
          <w:sz w:val="24"/>
          <w:szCs w:val="24"/>
        </w:rPr>
        <w:t>Modalita</w:t>
      </w:r>
      <w:proofErr w:type="spellEnd"/>
      <w:r w:rsidRPr="0057739F">
        <w:rPr>
          <w:sz w:val="24"/>
          <w:szCs w:val="24"/>
        </w:rPr>
        <w:t xml:space="preserve">̀ di sequenziamento del DNA: metodo </w:t>
      </w:r>
      <w:proofErr w:type="spellStart"/>
      <w:r w:rsidRPr="0057739F">
        <w:rPr>
          <w:sz w:val="24"/>
          <w:szCs w:val="24"/>
        </w:rPr>
        <w:t>Sanger</w:t>
      </w:r>
      <w:proofErr w:type="spellEnd"/>
      <w:r w:rsidRPr="0057739F">
        <w:rPr>
          <w:sz w:val="24"/>
          <w:szCs w:val="24"/>
        </w:rPr>
        <w:t xml:space="preserve">. 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Concetto di clonaggio genico.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Librerie geniche.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Concetto di sequenziamento del DNA e cenni sul Progetto Genoma Umano.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Applicazioni biotecnologiche nel settore agrario e zootecnico: le piante e animali transgenici.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Applicazioni biotecnologiche nel settore sanitario: editing del genoma e terapia genica, sintesi di ormoni, proteine, vaccini e anticorpi monoclonali.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Produzione biotecnologica di proteine umane: sistemi di espressione; le colture cellulari con l’uso dei fermentatori o bioreattori. Come funzione un bioreattore.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Valutazione di alcuni parametri di crescita monitorati nei bioreattori: temperatura, agitazione meccanica, </w:t>
      </w:r>
      <w:proofErr w:type="spellStart"/>
      <w:r w:rsidRPr="0057739F">
        <w:rPr>
          <w:sz w:val="24"/>
          <w:szCs w:val="24"/>
        </w:rPr>
        <w:t>pH</w:t>
      </w:r>
      <w:proofErr w:type="spellEnd"/>
      <w:r w:rsidRPr="0057739F">
        <w:rPr>
          <w:sz w:val="24"/>
          <w:szCs w:val="24"/>
        </w:rPr>
        <w:t xml:space="preserve">. Alcuni processi di separazione nelle tecniche di purificazione.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Parametri di crescita monitorati nei bioreattori.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lastRenderedPageBreak/>
        <w:t>Il recupero dei prodotti delle trasformazioni biotecnologiche: biomasse microbiche; metaboliti extracellulari; metaboliti intracellulari.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Biotecnologie microbiche: biotecnologie delle fermentazioni e prodotti della microbiologia industriale.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Fasi produttive dei processi biotecnologici.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Esempi di prodotti ottenuti da processi biotecnologici.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Cellule staminali: sviluppo dell’embrione e il differenziamento cellulare; tipologie di cellule staminali, impiego delle staminali come terapia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 xml:space="preserve">Produzione delle varie tipologie di vaccini: antigene, </w:t>
      </w:r>
      <w:proofErr w:type="spellStart"/>
      <w:r w:rsidRPr="0057739F">
        <w:rPr>
          <w:rFonts w:eastAsia="Calibri"/>
          <w:sz w:val="24"/>
          <w:szCs w:val="24"/>
        </w:rPr>
        <w:t>antigenicita</w:t>
      </w:r>
      <w:proofErr w:type="spellEnd"/>
      <w:r w:rsidRPr="0057739F">
        <w:rPr>
          <w:rFonts w:eastAsia="Calibri"/>
          <w:sz w:val="24"/>
          <w:szCs w:val="24"/>
        </w:rPr>
        <w:t xml:space="preserve">̀ e </w:t>
      </w:r>
      <w:proofErr w:type="spellStart"/>
      <w:r w:rsidRPr="0057739F">
        <w:rPr>
          <w:rFonts w:eastAsia="Calibri"/>
          <w:sz w:val="24"/>
          <w:szCs w:val="24"/>
        </w:rPr>
        <w:t>immunogenicita</w:t>
      </w:r>
      <w:proofErr w:type="spellEnd"/>
      <w:r w:rsidRPr="0057739F">
        <w:rPr>
          <w:rFonts w:eastAsia="Calibri"/>
          <w:sz w:val="24"/>
          <w:szCs w:val="24"/>
        </w:rPr>
        <w:t xml:space="preserve">̀. Vaccini da microrganismi vivi ma attenuati; uccisi o inattivati; da </w:t>
      </w:r>
      <w:proofErr w:type="spellStart"/>
      <w:r w:rsidRPr="0057739F">
        <w:rPr>
          <w:rFonts w:eastAsia="Calibri"/>
          <w:sz w:val="24"/>
          <w:szCs w:val="24"/>
        </w:rPr>
        <w:t>tossoidi</w:t>
      </w:r>
      <w:proofErr w:type="spellEnd"/>
      <w:r w:rsidRPr="0057739F">
        <w:rPr>
          <w:rFonts w:eastAsia="Calibri"/>
          <w:sz w:val="24"/>
          <w:szCs w:val="24"/>
        </w:rPr>
        <w:t>. Vaccini ricombinanti: esempi.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SARS-CoV-2 w COVID-19. I coronavirus umani; le proteine Spike. Meccanismo di azione del virus; il recettore ACE2. Immunoprofilassi attiva e passiva. Tipi di vaccino. Obiettivi epidemiologici delle vaccinazioni.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Il vaccino "</w:t>
      </w:r>
      <w:proofErr w:type="spellStart"/>
      <w:r w:rsidRPr="0057739F">
        <w:rPr>
          <w:rFonts w:eastAsia="Calibri"/>
          <w:sz w:val="24"/>
          <w:szCs w:val="24"/>
        </w:rPr>
        <w:t>Corminaty</w:t>
      </w:r>
      <w:proofErr w:type="spellEnd"/>
      <w:r w:rsidRPr="0057739F">
        <w:rPr>
          <w:rFonts w:eastAsia="Calibri"/>
          <w:sz w:val="24"/>
          <w:szCs w:val="24"/>
        </w:rPr>
        <w:t>" di Pfizer-</w:t>
      </w:r>
      <w:proofErr w:type="spellStart"/>
      <w:r w:rsidRPr="0057739F">
        <w:rPr>
          <w:rFonts w:eastAsia="Calibri"/>
          <w:sz w:val="24"/>
          <w:szCs w:val="24"/>
        </w:rPr>
        <w:t>BioNTech</w:t>
      </w:r>
      <w:proofErr w:type="spellEnd"/>
      <w:r w:rsidRPr="0057739F">
        <w:rPr>
          <w:rFonts w:eastAsia="Calibri"/>
          <w:sz w:val="24"/>
          <w:szCs w:val="24"/>
        </w:rPr>
        <w:t xml:space="preserve">: meccanismo d’azione. 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  <w:u w:val="single"/>
        </w:rPr>
      </w:pPr>
      <w:r w:rsidRPr="0057739F">
        <w:rPr>
          <w:rFonts w:eastAsia="Calibri"/>
          <w:sz w:val="24"/>
          <w:szCs w:val="24"/>
          <w:u w:val="single"/>
        </w:rPr>
        <w:t>Obiettivi minimi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le metodologie per l’applicazione della tecnologia del DNA ricombinante.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le applicazioni biotecnologiche nel settore sanitario: editing del genoma e terapia genica, sintesi di molecole d’interesse antropico.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riconoscere i componenti dei biosensori e saper spiegarne il funzionamento.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Analizzare i principali inquinanti ambientali e descrivere i microrganismi in grado di contenerli.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Descrivere le fasi produttive dei processi biotecnologici.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Descrivere i prodotti ottenuti tramite processi biotecnologici industriali.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Illustrare i meccanismi di differenziamento cellulare e analizzare il ruolo delle cellule staminali.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57739F">
        <w:rPr>
          <w:rFonts w:eastAsia="Calibri"/>
          <w:b/>
          <w:sz w:val="24"/>
          <w:szCs w:val="24"/>
        </w:rPr>
        <w:t>I virus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 xml:space="preserve">Struttura dei coronavirus. 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proofErr w:type="spellStart"/>
      <w:r w:rsidRPr="0057739F">
        <w:rPr>
          <w:rFonts w:eastAsia="Calibri"/>
          <w:sz w:val="24"/>
          <w:szCs w:val="24"/>
        </w:rPr>
        <w:t>Modalita</w:t>
      </w:r>
      <w:proofErr w:type="spellEnd"/>
      <w:r w:rsidRPr="0057739F">
        <w:rPr>
          <w:rFonts w:eastAsia="Calibri"/>
          <w:sz w:val="24"/>
          <w:szCs w:val="24"/>
        </w:rPr>
        <w:t xml:space="preserve">̀ di penetrazione nella cellula ospite. Il virus SARS </w:t>
      </w:r>
      <w:proofErr w:type="spellStart"/>
      <w:r w:rsidRPr="0057739F">
        <w:rPr>
          <w:rFonts w:eastAsia="Calibri"/>
          <w:sz w:val="24"/>
          <w:szCs w:val="24"/>
        </w:rPr>
        <w:t>Cov</w:t>
      </w:r>
      <w:proofErr w:type="spellEnd"/>
      <w:r w:rsidRPr="0057739F">
        <w:rPr>
          <w:rFonts w:eastAsia="Calibri"/>
          <w:sz w:val="24"/>
          <w:szCs w:val="24"/>
        </w:rPr>
        <w:t xml:space="preserve"> 2 e il </w:t>
      </w:r>
      <w:proofErr w:type="spellStart"/>
      <w:r w:rsidRPr="0057739F">
        <w:rPr>
          <w:rFonts w:eastAsia="Calibri"/>
          <w:sz w:val="24"/>
          <w:szCs w:val="24"/>
        </w:rPr>
        <w:t>Covid</w:t>
      </w:r>
      <w:proofErr w:type="spellEnd"/>
      <w:r w:rsidRPr="0057739F">
        <w:rPr>
          <w:rFonts w:eastAsia="Calibri"/>
          <w:sz w:val="24"/>
          <w:szCs w:val="24"/>
        </w:rPr>
        <w:t xml:space="preserve"> 19.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 batteriofagi. Ciclo litico</w:t>
      </w:r>
    </w:p>
    <w:p w:rsidR="003E2AD1" w:rsidRPr="0057739F" w:rsidRDefault="003E2AD1" w:rsidP="003E2AD1">
      <w:pPr>
        <w:jc w:val="both"/>
        <w:rPr>
          <w:rFonts w:eastAsia="Calibri"/>
          <w:sz w:val="24"/>
          <w:szCs w:val="24"/>
        </w:rPr>
      </w:pPr>
    </w:p>
    <w:p w:rsidR="003E2AD1" w:rsidRPr="0057739F" w:rsidRDefault="003E2AD1" w:rsidP="003E2AD1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Le reazioni immunitarie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Il sistema immunitario. Definizione di patogeno; infezione batterica e virale. Le difese innate o aspecifiche e la risposta immunitaria acquisita. L’</w:t>
      </w:r>
      <w:proofErr w:type="spellStart"/>
      <w:r w:rsidRPr="0057739F">
        <w:rPr>
          <w:sz w:val="24"/>
          <w:szCs w:val="24"/>
        </w:rPr>
        <w:t>immunita</w:t>
      </w:r>
      <w:proofErr w:type="spellEnd"/>
      <w:r w:rsidRPr="0057739F">
        <w:rPr>
          <w:sz w:val="24"/>
          <w:szCs w:val="24"/>
        </w:rPr>
        <w:t xml:space="preserve">̀ specifica o adattativa. Principali caratteristiche della risposta immunitaria. La risposta immunitaria primaria e secondaria.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Linfociti B e </w:t>
      </w:r>
      <w:proofErr w:type="spellStart"/>
      <w:r w:rsidRPr="0057739F">
        <w:rPr>
          <w:sz w:val="24"/>
          <w:szCs w:val="24"/>
        </w:rPr>
        <w:t>linfocitiT</w:t>
      </w:r>
      <w:proofErr w:type="spellEnd"/>
      <w:r w:rsidRPr="0057739F">
        <w:rPr>
          <w:sz w:val="24"/>
          <w:szCs w:val="24"/>
        </w:rPr>
        <w:t xml:space="preserve">: caratteristiche della risposta immunitaria umorale. Struttura base di una molecola anticorpale.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</w:p>
    <w:p w:rsidR="003E2AD1" w:rsidRPr="0057739F" w:rsidRDefault="003E2AD1" w:rsidP="003E2AD1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Gli anticorpi monoclonali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Produzione industriale di anticorpi monoclonali. Utilizzo di bioreattori a fibre cave. Applicazioni della reazione antigene –anticorpo a scopo diagnostico e terapeutico. Tecniche di produzione di anticorpi monoclonali.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Anticorpi monoclonali e SARS-CoV-2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</w:p>
    <w:p w:rsidR="003E2AD1" w:rsidRPr="0057739F" w:rsidRDefault="003E2AD1" w:rsidP="003E2AD1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Le cellule staminali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proofErr w:type="spellStart"/>
      <w:r w:rsidRPr="0057739F">
        <w:rPr>
          <w:sz w:val="24"/>
          <w:szCs w:val="24"/>
        </w:rPr>
        <w:t>Generalita</w:t>
      </w:r>
      <w:proofErr w:type="spellEnd"/>
      <w:r w:rsidRPr="0057739F">
        <w:rPr>
          <w:sz w:val="24"/>
          <w:szCs w:val="24"/>
        </w:rPr>
        <w:t xml:space="preserve">̀ sullo sviluppo embrionale e sui processi di differenziamento. Classificazione delle cellule staminali. Cellule staminali embrionali e cellule staminali adulte.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Trapianti di cellule staminali emopoietiche ed analisi per la </w:t>
      </w:r>
      <w:proofErr w:type="spellStart"/>
      <w:r w:rsidRPr="0057739F">
        <w:rPr>
          <w:sz w:val="24"/>
          <w:szCs w:val="24"/>
        </w:rPr>
        <w:t>compatibilita</w:t>
      </w:r>
      <w:proofErr w:type="spellEnd"/>
      <w:r w:rsidRPr="0057739F">
        <w:rPr>
          <w:sz w:val="24"/>
          <w:szCs w:val="24"/>
        </w:rPr>
        <w:t>̀. Le cellule staminali pluripotenti indotte (</w:t>
      </w:r>
      <w:proofErr w:type="spellStart"/>
      <w:r w:rsidRPr="0057739F">
        <w:rPr>
          <w:sz w:val="24"/>
          <w:szCs w:val="24"/>
        </w:rPr>
        <w:t>iPSC</w:t>
      </w:r>
      <w:proofErr w:type="spellEnd"/>
      <w:r w:rsidRPr="0057739F">
        <w:rPr>
          <w:sz w:val="24"/>
          <w:szCs w:val="24"/>
        </w:rPr>
        <w:t>). La riprogrammazione cellulare tramite REAC.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</w:p>
    <w:p w:rsidR="003E2AD1" w:rsidRPr="0057739F" w:rsidRDefault="003E2AD1" w:rsidP="003E2AD1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Farmacologia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>
        <w:rPr>
          <w:sz w:val="24"/>
          <w:szCs w:val="24"/>
        </w:rPr>
        <w:t>Cenni sulla c</w:t>
      </w:r>
      <w:r w:rsidRPr="0057739F">
        <w:rPr>
          <w:sz w:val="24"/>
          <w:szCs w:val="24"/>
        </w:rPr>
        <w:t xml:space="preserve">lassificazione dei farmaci. 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Concetto di tossicità confrontato all’efficacia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Biodisponibilità e indice terapeutico</w:t>
      </w:r>
    </w:p>
    <w:p w:rsidR="003E2AD1" w:rsidRDefault="003E2AD1" w:rsidP="003E2AD1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Forme e formulazioni farmaceutiche</w:t>
      </w:r>
    </w:p>
    <w:p w:rsidR="003E2AD1" w:rsidRPr="0057739F" w:rsidRDefault="003E2AD1" w:rsidP="003E2AD1">
      <w:pPr>
        <w:jc w:val="both"/>
        <w:rPr>
          <w:sz w:val="24"/>
          <w:szCs w:val="24"/>
        </w:rPr>
      </w:pPr>
    </w:p>
    <w:p w:rsidR="003E2AD1" w:rsidRPr="0057739F" w:rsidRDefault="003E2AD1" w:rsidP="003E2AD1">
      <w:pPr>
        <w:jc w:val="both"/>
        <w:rPr>
          <w:sz w:val="24"/>
          <w:szCs w:val="24"/>
          <w:u w:val="single"/>
        </w:rPr>
      </w:pPr>
      <w:r w:rsidRPr="0057739F">
        <w:rPr>
          <w:sz w:val="24"/>
          <w:szCs w:val="24"/>
          <w:u w:val="single"/>
        </w:rPr>
        <w:lastRenderedPageBreak/>
        <w:t>Obiettivi minimi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i concetti di farmacocinetica, farmacodinamica e farmacovigilanza.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Essere consapevole della differenza tra medicinale e sostanza tossica.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Analisi batteriologiche di campioni alimentari e ambientali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Saper individuare le prove a cui sottoporre un campione.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Ricercare, contare e identificare i microrganismi indicatori di contaminazione.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Applicare le varie metodiche</w:t>
      </w:r>
    </w:p>
    <w:p w:rsidR="003E2AD1" w:rsidRPr="0057739F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Essere in grado di leggere e allestire prove di laboratorio con le metodiche corrette seguendo protocolli stabiliti.</w:t>
      </w:r>
    </w:p>
    <w:p w:rsidR="003E2AD1" w:rsidRDefault="003E2AD1" w:rsidP="003E2AD1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3E2AD1" w:rsidRDefault="003E2AD1" w:rsidP="003E2AD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Bioinformatica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>La bioinformatica e le banche dati. Utilizzo del database ensembl.org. Applicazioni di bioinformatica per l’indagine</w:t>
      </w:r>
      <w:bookmarkStart w:id="6" w:name="_GoBack"/>
      <w:bookmarkEnd w:id="6"/>
      <w:r w:rsidRPr="008F397B">
        <w:rPr>
          <w:rFonts w:ascii="Calibri" w:eastAsia="Calibri" w:hAnsi="Calibri" w:cs="Calibri"/>
          <w:sz w:val="24"/>
          <w:szCs w:val="24"/>
        </w:rPr>
        <w:t xml:space="preserve"> sulla familiarità del tumore al seno. Elaborazione della proteina BRCA2 mutata e confronto con quella normale.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Tecniche di biologia molecolare e microbiologia</w:t>
      </w:r>
    </w:p>
    <w:p w:rsidR="008F397B" w:rsidRPr="008F397B" w:rsidRDefault="008F397B" w:rsidP="008F397B">
      <w:pPr>
        <w:numPr>
          <w:ilvl w:val="0"/>
          <w:numId w:val="5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Le tecniche elettroforetiche, strumentazione, separazione di frammenti di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dna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tramite elettroforesi orizzontale su gel di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agarosio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>.</w:t>
      </w:r>
    </w:p>
    <w:p w:rsidR="008F397B" w:rsidRPr="008F397B" w:rsidRDefault="008F397B" w:rsidP="008F397B">
      <w:pPr>
        <w:numPr>
          <w:ilvl w:val="0"/>
          <w:numId w:val="5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La reazione a catena della polimerasi (PCR), utilizzo del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termociclatore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. La LAMP-PCR come strumento di diagnostica rapida per la ricerca di patogeni all’interno di matrici acquatiche ed alimentari. Metodi di isolamento per filtrazione e per arricchimento. Il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termociclatore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real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time. Definizione di radiazione e spettro elettromagnetico, spettri di assorbimento e di emissione, derivazione della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trasmittanza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e relazione con assorbanza. Legge di Lambert e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Beer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>.</w:t>
      </w:r>
    </w:p>
    <w:p w:rsidR="008F397B" w:rsidRPr="008F397B" w:rsidRDefault="008F397B" w:rsidP="008F397B">
      <w:pPr>
        <w:numPr>
          <w:ilvl w:val="0"/>
          <w:numId w:val="5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Le tecniche usate per le analisi delle acque: Filtrazione su membrana, diluizioni seriali e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mpn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>.  Preparazione di terreni selettivi, differenziali e per l’analisi delle acque.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Biotecnologie innovative</w:t>
      </w:r>
    </w:p>
    <w:p w:rsidR="008F397B" w:rsidRPr="008F397B" w:rsidRDefault="008F397B" w:rsidP="008F397B">
      <w:pPr>
        <w:numPr>
          <w:ilvl w:val="0"/>
          <w:numId w:val="6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Analisi del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dna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mitocondriale tramite estrazione, amplificazione e separazione di frammenti di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dna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ottenuti da cellule della mucosa buccale.</w:t>
      </w:r>
    </w:p>
    <w:p w:rsidR="008F397B" w:rsidRPr="008F397B" w:rsidRDefault="008F397B" w:rsidP="008F397B">
      <w:pPr>
        <w:numPr>
          <w:ilvl w:val="0"/>
          <w:numId w:val="6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La trasformazione batterica degli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E.coli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per l’espressione della proteina fluorescente GFP.</w:t>
      </w:r>
    </w:p>
    <w:p w:rsidR="008F397B" w:rsidRPr="008F397B" w:rsidRDefault="008F397B" w:rsidP="008F397B">
      <w:pPr>
        <w:numPr>
          <w:ilvl w:val="0"/>
          <w:numId w:val="6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Utilizzo degli enzimi di restrizione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EcoRI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HindIII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per la risoluzione di una scena del crimine.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Biotecnologie tradizionali</w:t>
      </w:r>
    </w:p>
    <w:p w:rsidR="008F397B" w:rsidRPr="008F397B" w:rsidRDefault="008F397B" w:rsidP="008F397B">
      <w:pPr>
        <w:numPr>
          <w:ilvl w:val="0"/>
          <w:numId w:val="7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La produzione dello yoghurt a partire da latte pastorizzato utilizzando i ceppi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L.bulgaricus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ed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S.termophilus</w:t>
      </w:r>
      <w:proofErr w:type="spellEnd"/>
    </w:p>
    <w:p w:rsidR="008F397B" w:rsidRPr="008F397B" w:rsidRDefault="008F397B" w:rsidP="008F397B">
      <w:pPr>
        <w:numPr>
          <w:ilvl w:val="0"/>
          <w:numId w:val="7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>La produzione della birra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Alimenti</w:t>
      </w:r>
    </w:p>
    <w:p w:rsidR="008F397B" w:rsidRPr="008F397B" w:rsidRDefault="008F397B" w:rsidP="008F397B">
      <w:pPr>
        <w:numPr>
          <w:ilvl w:val="0"/>
          <w:numId w:val="8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Infezioni, tossinfezioni ed intossicazioni alimentari. Generalità sulla contaminazione microbiologica delle acque e descrizione dei principali microrganismi coinvolti nelle indagini: </w:t>
      </w:r>
      <w:r w:rsidRPr="008F397B">
        <w:rPr>
          <w:rFonts w:ascii="Calibri" w:eastAsia="Calibri" w:hAnsi="Calibri" w:cs="Calibri"/>
          <w:sz w:val="24"/>
          <w:szCs w:val="24"/>
        </w:rPr>
        <w:lastRenderedPageBreak/>
        <w:t xml:space="preserve">E. coli,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S.enteriditis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S.aureus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, L.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monocytogenes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e C.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botulinum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>. I parametri, le linee guida da seguire ed I protocolli ISO relativi alle principali analisi sugli alimenti.</w:t>
      </w:r>
    </w:p>
    <w:p w:rsidR="008F397B" w:rsidRPr="008F397B" w:rsidRDefault="008F397B" w:rsidP="008F397B">
      <w:pPr>
        <w:numPr>
          <w:ilvl w:val="0"/>
          <w:numId w:val="8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>Ricerca di coli, coliformi e salmonelle tramite tecnica LAMP-PCR all’interno di matrici alimentari.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bCs/>
          <w:sz w:val="24"/>
          <w:szCs w:val="24"/>
        </w:rPr>
        <w:t>Antibiotici</w:t>
      </w:r>
    </w:p>
    <w:p w:rsidR="008F397B" w:rsidRPr="008F397B" w:rsidRDefault="008F397B" w:rsidP="008F397B">
      <w:pPr>
        <w:numPr>
          <w:ilvl w:val="0"/>
          <w:numId w:val="9"/>
        </w:num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8F397B">
        <w:rPr>
          <w:rFonts w:ascii="Calibri" w:eastAsia="Calibri" w:hAnsi="Calibri" w:cs="Calibri"/>
          <w:sz w:val="24"/>
          <w:szCs w:val="24"/>
        </w:rPr>
        <w:t xml:space="preserve">Allestimento dell’antibiogramma secondo il metodo Kirby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Bauer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. Il problema dell’antibiotico resistenza e dell’A. </w:t>
      </w:r>
      <w:proofErr w:type="spellStart"/>
      <w:r w:rsidRPr="008F397B">
        <w:rPr>
          <w:rFonts w:ascii="Calibri" w:eastAsia="Calibri" w:hAnsi="Calibri" w:cs="Calibri"/>
          <w:sz w:val="24"/>
          <w:szCs w:val="24"/>
        </w:rPr>
        <w:t>baumanni</w:t>
      </w:r>
      <w:proofErr w:type="spellEnd"/>
      <w:r w:rsidRPr="008F397B">
        <w:rPr>
          <w:rFonts w:ascii="Calibri" w:eastAsia="Calibri" w:hAnsi="Calibri" w:cs="Calibri"/>
          <w:sz w:val="24"/>
          <w:szCs w:val="24"/>
        </w:rPr>
        <w:t xml:space="preserve"> all’interno delle strutture ospedaliere</w:t>
      </w:r>
    </w:p>
    <w:p w:rsidR="008F397B" w:rsidRPr="008F397B" w:rsidRDefault="008F397B" w:rsidP="008F397B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3E2AD1" w:rsidRPr="008F397B" w:rsidRDefault="003E2AD1" w:rsidP="003E2AD1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3E2AD1" w:rsidRPr="008F397B" w:rsidRDefault="003E2AD1" w:rsidP="003E2AD1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677ED3" w:rsidRPr="008F397B" w:rsidRDefault="00677ED3" w:rsidP="003E2AD1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677ED3" w:rsidRPr="008F397B" w:rsidRDefault="00677ED3" w:rsidP="003E2AD1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677ED3" w:rsidRPr="000F5633" w:rsidRDefault="00677ED3" w:rsidP="003E2AD1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Educazione civica</w:t>
      </w: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4h: l’importanza della prevenzione attraverso la vaccinazione.</w:t>
      </w: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E2AD1" w:rsidRDefault="003E2AD1" w:rsidP="003E2AD1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10/06/2024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3E2AD1" w:rsidRDefault="003E2AD1" w:rsidP="003E2AD1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3E2AD1" w:rsidRPr="000F5633" w:rsidRDefault="003E2AD1" w:rsidP="003E2AD1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</w:t>
      </w:r>
      <w:r w:rsidR="00FA3EBF">
        <w:rPr>
          <w:rFonts w:ascii="Calibri" w:eastAsia="Calibri" w:hAnsi="Calibri" w:cs="Calibri"/>
          <w:sz w:val="24"/>
          <w:szCs w:val="24"/>
        </w:rPr>
        <w:t xml:space="preserve"> Raffaele Gigliotti</w:t>
      </w:r>
    </w:p>
    <w:p w:rsidR="00782468" w:rsidRPr="003E2AD1" w:rsidRDefault="00782468" w:rsidP="003E2AD1">
      <w:pPr>
        <w:rPr>
          <w:rFonts w:eastAsia="Calibri"/>
        </w:rPr>
      </w:pPr>
    </w:p>
    <w:sectPr w:rsidR="00782468" w:rsidRPr="003E2AD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DA0"/>
    <w:multiLevelType w:val="multilevel"/>
    <w:tmpl w:val="C90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70EE5"/>
    <w:multiLevelType w:val="hybridMultilevel"/>
    <w:tmpl w:val="2E34E0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D61B2"/>
    <w:multiLevelType w:val="multilevel"/>
    <w:tmpl w:val="4C8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5057C"/>
    <w:multiLevelType w:val="multilevel"/>
    <w:tmpl w:val="461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B4FF1"/>
    <w:multiLevelType w:val="multilevel"/>
    <w:tmpl w:val="0DA86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D37249"/>
    <w:multiLevelType w:val="hybridMultilevel"/>
    <w:tmpl w:val="4DA41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43E6"/>
    <w:multiLevelType w:val="multilevel"/>
    <w:tmpl w:val="338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86967"/>
    <w:multiLevelType w:val="multilevel"/>
    <w:tmpl w:val="AAB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8"/>
    <w:rsid w:val="00260A88"/>
    <w:rsid w:val="003E090B"/>
    <w:rsid w:val="003E2AD1"/>
    <w:rsid w:val="004D2AE8"/>
    <w:rsid w:val="005441EA"/>
    <w:rsid w:val="00567F60"/>
    <w:rsid w:val="00677ED3"/>
    <w:rsid w:val="00782468"/>
    <w:rsid w:val="007A2AAA"/>
    <w:rsid w:val="008F397B"/>
    <w:rsid w:val="00AA0DE5"/>
    <w:rsid w:val="00C009F1"/>
    <w:rsid w:val="00F95266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1F0FD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3E090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1408</Words>
  <Characters>7549</Characters>
  <Application>Microsoft Office Word</Application>
  <DocSecurity>0</DocSecurity>
  <Lines>198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12</cp:revision>
  <dcterms:created xsi:type="dcterms:W3CDTF">2022-12-12T14:33:00Z</dcterms:created>
  <dcterms:modified xsi:type="dcterms:W3CDTF">2024-06-10T07:08:00Z</dcterms:modified>
</cp:coreProperties>
</file>